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after="0"/>
        <w:jc w:val="center"/>
        <w:rPr>
          <w:b/>
          <w:sz w:val="30"/>
          <w:szCs w:val="30"/>
        </w:rPr>
      </w:pPr>
      <w:r>
        <w:rPr>
          <w:rFonts w:hint="eastAsia"/>
          <w:b/>
          <w:sz w:val="30"/>
          <w:szCs w:val="30"/>
        </w:rPr>
        <w:t>多联机空调系统、直接膨胀式空调系统</w:t>
      </w:r>
      <w:r>
        <w:rPr>
          <w:rFonts w:hint="eastAsia"/>
          <w:b/>
          <w:sz w:val="30"/>
          <w:szCs w:val="30"/>
          <w:lang w:val="en-US" w:eastAsia="zh-CN"/>
        </w:rPr>
        <w:t>、</w:t>
      </w:r>
      <w:r>
        <w:rPr>
          <w:rFonts w:hint="eastAsia"/>
          <w:b/>
          <w:sz w:val="30"/>
          <w:szCs w:val="30"/>
        </w:rPr>
        <w:t>分体空调</w:t>
      </w:r>
    </w:p>
    <w:p>
      <w:pPr>
        <w:pStyle w:val="3"/>
        <w:adjustRightInd w:val="0"/>
        <w:spacing w:after="0"/>
        <w:jc w:val="center"/>
        <w:rPr>
          <w:b/>
          <w:sz w:val="30"/>
          <w:szCs w:val="30"/>
        </w:rPr>
      </w:pPr>
      <w:r>
        <w:rPr>
          <w:rFonts w:hint="eastAsia"/>
          <w:b/>
          <w:sz w:val="30"/>
          <w:szCs w:val="30"/>
        </w:rPr>
        <w:t>设备供货及安装工程技术规格书</w:t>
      </w:r>
    </w:p>
    <w:p>
      <w:pPr>
        <w:tabs>
          <w:tab w:val="left" w:pos="142"/>
        </w:tabs>
        <w:snapToGrid w:val="0"/>
        <w:spacing w:line="480" w:lineRule="auto"/>
        <w:rPr>
          <w:rFonts w:asciiTheme="minorEastAsia" w:hAnsiTheme="minorEastAsia"/>
          <w:b/>
        </w:rPr>
      </w:pPr>
      <w:r>
        <w:rPr>
          <w:rFonts w:asciiTheme="minorEastAsia" w:hAnsiTheme="minorEastAsia"/>
          <w:b/>
        </w:rPr>
        <w:t>一</w:t>
      </w:r>
      <w:r>
        <w:rPr>
          <w:rFonts w:hint="eastAsia" w:asciiTheme="minorEastAsia" w:hAnsiTheme="minorEastAsia"/>
          <w:b/>
        </w:rPr>
        <w:t>、招标范围：</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1、项目名称：</w:t>
      </w:r>
      <w:r>
        <w:rPr>
          <w:rFonts w:hint="eastAsia" w:asciiTheme="minorEastAsia" w:hAnsiTheme="minorEastAsia"/>
          <w:lang w:val="en-US" w:eastAsia="zh-CN"/>
        </w:rPr>
        <w:t>衡阳建湘工业文化街区21#楼博物馆通风空调改造项目直接膨胀式空调系统、多联机空调系统、</w:t>
      </w:r>
      <w:r>
        <w:rPr>
          <w:rFonts w:hint="eastAsia" w:asciiTheme="minorEastAsia" w:hAnsiTheme="minorEastAsia"/>
        </w:rPr>
        <w:t>分体空调等安装工程及设备供货。</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2、招标内容：</w:t>
      </w:r>
    </w:p>
    <w:p>
      <w:pPr>
        <w:tabs>
          <w:tab w:val="left" w:pos="142"/>
        </w:tabs>
        <w:snapToGrid w:val="0"/>
        <w:spacing w:line="360" w:lineRule="auto"/>
        <w:rPr>
          <w:rFonts w:asciiTheme="minorEastAsia" w:hAnsiTheme="minorEastAsia"/>
        </w:rPr>
      </w:pPr>
      <w:r>
        <w:rPr>
          <w:rFonts w:hint="eastAsia" w:asciiTheme="minorEastAsia" w:hAnsiTheme="minorEastAsia"/>
        </w:rPr>
        <w:t xml:space="preserve">    本次招标范围为</w:t>
      </w:r>
      <w:r>
        <w:rPr>
          <w:rFonts w:hint="eastAsia" w:asciiTheme="minorEastAsia" w:hAnsiTheme="minorEastAsia"/>
          <w:lang w:val="en-US" w:eastAsia="zh-CN"/>
        </w:rPr>
        <w:t>衡阳建湘工业文化街区项目21#楼博物馆通风空调设备采购安装，</w:t>
      </w:r>
      <w:r>
        <w:rPr>
          <w:rFonts w:hint="eastAsia" w:asciiTheme="minorEastAsia" w:hAnsiTheme="minorEastAsia"/>
        </w:rPr>
        <w:t>暖通设计图纸中以下内容：</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（1）直接膨胀式空调系统</w:t>
      </w:r>
      <w:r>
        <w:rPr>
          <w:rFonts w:asciiTheme="minorEastAsia" w:hAnsiTheme="minorEastAsia"/>
        </w:rPr>
        <w:t>、</w:t>
      </w:r>
      <w:r>
        <w:rPr>
          <w:rFonts w:hint="eastAsia" w:asciiTheme="minorEastAsia" w:hAnsiTheme="minorEastAsia"/>
        </w:rPr>
        <w:t>变频多联空调、分体空调的设备供货，以及室内机和室外机之间的冷媒系统管道及保温、风管机保温、控制线路及套管、冷凝水管道及保温、设备及管路系统支吊架等材料供应，以及空调设备及冷媒系统、控制系统、冷凝水系统的安装工程。</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w:t>
      </w:r>
      <w:r>
        <w:rPr>
          <w:rFonts w:hint="eastAsia" w:asciiTheme="minorEastAsia" w:hAnsiTheme="minorEastAsia"/>
          <w:lang w:val="en-US" w:eastAsia="zh-CN"/>
        </w:rPr>
        <w:t>2</w:t>
      </w:r>
      <w:r>
        <w:rPr>
          <w:rFonts w:hint="eastAsia" w:asciiTheme="minorEastAsia" w:hAnsiTheme="minorEastAsia"/>
        </w:rPr>
        <w:t>）要求供货的报价应包括所涉及的设备的制造、货到现场的运输保险、税金、利润等；</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w:t>
      </w:r>
      <w:r>
        <w:rPr>
          <w:rFonts w:hint="eastAsia" w:asciiTheme="minorEastAsia" w:hAnsiTheme="minorEastAsia"/>
          <w:lang w:val="en-US" w:eastAsia="zh-CN"/>
        </w:rPr>
        <w:t>3</w:t>
      </w:r>
      <w:r>
        <w:rPr>
          <w:rFonts w:hint="eastAsia" w:asciiTheme="minorEastAsia" w:hAnsiTheme="minorEastAsia"/>
        </w:rPr>
        <w:t>）要求供货加安装的报价应包括所涉及的设备材料的供货、运输保险、卸货、吊装、保管、安装、调试、质保期内免费售后服务等。</w:t>
      </w:r>
    </w:p>
    <w:p>
      <w:pPr>
        <w:pStyle w:val="3"/>
        <w:adjustRightInd w:val="0"/>
        <w:snapToGrid w:val="0"/>
        <w:spacing w:after="0" w:line="360" w:lineRule="auto"/>
        <w:ind w:firstLine="315"/>
        <w:rPr>
          <w:rFonts w:ascii="等线" w:hAnsi="等线" w:cs="宋体"/>
          <w:b/>
          <w:sz w:val="20"/>
          <w:szCs w:val="20"/>
        </w:rPr>
      </w:pPr>
    </w:p>
    <w:p>
      <w:pPr>
        <w:tabs>
          <w:tab w:val="left" w:pos="142"/>
        </w:tabs>
        <w:snapToGrid w:val="0"/>
        <w:spacing w:line="480" w:lineRule="auto"/>
        <w:rPr>
          <w:rFonts w:asciiTheme="minorEastAsia" w:hAnsiTheme="minorEastAsia"/>
          <w:b/>
        </w:rPr>
      </w:pPr>
      <w:r>
        <w:rPr>
          <w:rFonts w:hint="eastAsia" w:asciiTheme="minorEastAsia" w:hAnsiTheme="minorEastAsia"/>
          <w:b/>
        </w:rPr>
        <w:t>二、投标资格条件：</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1、投标人须为在中华人民共和国境内注册的独立法人；</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2、投标人须具备</w:t>
      </w:r>
      <w:r>
        <w:rPr>
          <w:rFonts w:asciiTheme="minorEastAsia" w:hAnsiTheme="minorEastAsia"/>
        </w:rPr>
        <w:t>机电设备安装工程专业承包二级</w:t>
      </w:r>
      <w:r>
        <w:rPr>
          <w:rFonts w:hint="eastAsia" w:asciiTheme="minorEastAsia" w:hAnsiTheme="minorEastAsia"/>
        </w:rPr>
        <w:t>及以上资质；具有有效的安全生产许可证；</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3、投标人须提供</w:t>
      </w:r>
      <w:r>
        <w:rPr>
          <w:rFonts w:hint="eastAsia" w:asciiTheme="minorEastAsia" w:hAnsiTheme="minorEastAsia"/>
          <w:lang w:val="en-US" w:eastAsia="zh-CN"/>
        </w:rPr>
        <w:t>二</w:t>
      </w:r>
      <w:r>
        <w:rPr>
          <w:rFonts w:hint="eastAsia" w:asciiTheme="minorEastAsia" w:hAnsiTheme="minorEastAsia"/>
        </w:rPr>
        <w:t>年以上同类供货安装业绩(20</w:t>
      </w:r>
      <w:r>
        <w:rPr>
          <w:rFonts w:hint="eastAsia" w:asciiTheme="minorEastAsia" w:hAnsiTheme="minorEastAsia"/>
          <w:lang w:val="en-US" w:eastAsia="zh-CN"/>
        </w:rPr>
        <w:t>20</w:t>
      </w:r>
      <w:r>
        <w:rPr>
          <w:rFonts w:hint="eastAsia" w:asciiTheme="minorEastAsia" w:hAnsiTheme="minorEastAsia"/>
        </w:rPr>
        <w:t xml:space="preserve">年 </w:t>
      </w:r>
      <w:r>
        <w:rPr>
          <w:rFonts w:asciiTheme="minorEastAsia" w:hAnsiTheme="minorEastAsia"/>
        </w:rPr>
        <w:t>1</w:t>
      </w:r>
      <w:r>
        <w:rPr>
          <w:rFonts w:hint="eastAsia" w:asciiTheme="minorEastAsia" w:hAnsiTheme="minorEastAsia"/>
          <w:lang w:val="en-US" w:eastAsia="zh-CN"/>
        </w:rPr>
        <w:t>2</w:t>
      </w:r>
      <w:r>
        <w:rPr>
          <w:rFonts w:hint="eastAsia" w:asciiTheme="minorEastAsia" w:hAnsiTheme="minorEastAsia"/>
        </w:rPr>
        <w:t>月以来至少承接一项与本项目规模相当的频多联机供货安装业绩)；</w:t>
      </w:r>
    </w:p>
    <w:p>
      <w:pPr>
        <w:tabs>
          <w:tab w:val="left" w:pos="142"/>
        </w:tabs>
        <w:snapToGrid w:val="0"/>
        <w:spacing w:line="360" w:lineRule="auto"/>
        <w:ind w:firstLine="420" w:firstLineChars="200"/>
        <w:rPr>
          <w:rFonts w:asciiTheme="minorEastAsia" w:hAnsiTheme="minorEastAsia"/>
        </w:rPr>
      </w:pPr>
      <w:r>
        <w:rPr>
          <w:rFonts w:asciiTheme="minorEastAsia" w:hAnsiTheme="minorEastAsia"/>
        </w:rPr>
        <w:t>4</w:t>
      </w:r>
      <w:r>
        <w:rPr>
          <w:rFonts w:hint="eastAsia" w:asciiTheme="minorEastAsia" w:hAnsiTheme="minorEastAsia"/>
        </w:rPr>
        <w:t>、本项目不接受联合体投标。</w:t>
      </w:r>
    </w:p>
    <w:p>
      <w:pPr>
        <w:pStyle w:val="2"/>
        <w:ind w:firstLine="210"/>
      </w:pPr>
    </w:p>
    <w:p>
      <w:pPr>
        <w:tabs>
          <w:tab w:val="left" w:pos="142"/>
        </w:tabs>
        <w:snapToGrid w:val="0"/>
        <w:spacing w:line="480" w:lineRule="auto"/>
        <w:rPr>
          <w:rFonts w:asciiTheme="minorEastAsia" w:hAnsiTheme="minorEastAsia"/>
          <w:b/>
        </w:rPr>
      </w:pPr>
      <w:r>
        <w:rPr>
          <w:rFonts w:hint="eastAsia" w:asciiTheme="minorEastAsia" w:hAnsiTheme="minorEastAsia"/>
          <w:b/>
        </w:rPr>
        <w:t>三、招标技术要求：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1.1、直接膨胀式空调机组、变频多联设备技术性能要求: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（1）直接膨胀式空调机组、变频多联空调系统必须全部采用高性能涡旋式变频压缩机，空调室内外机、变频主板及压缩机为同一品牌产品，且压缩机为制造商同品牌自产。</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（2）产品应为热泵型且以变频方式来实现变制冷剂流量的变频多联机空调及直接膨胀式空调，采用 R410A 环保型冷媒。产品必须为原厂制造生产的全新产品，所使用的压缩机和变频器性能优良。</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产品应满足国家现行标准规范规定的标准要求，符合相关部门对产品的认证和许可要求。直接膨胀式空调机组、变频多联空调室外机、室内机的制冷量、制热量、静压值、噪音均满足设计参数要求，不可负偏离。</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（4）直接膨胀式空调机组应自带控制柜并成套供应室内外机之间的通讯线。</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（5）多联机室内机均采用有线液晶控制器(一对一配置)，且室内机标配冷凝水提升泵。</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（6）投标产品应为安全、高效、节能产品，所选空调室内机需满足项目制热需求，不得标配或选配辅助电加热。 择优选择高IPLV值及APF值的机组。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（7）考虑极端气候条件，保证夏季42℃、冬季-5℃的室外气温下，室外机组输出能力需达到项目设计参数要求，并择优选择具备宽广连续运转范围的机组。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（8）投标产品具备与本项目原有系统的兼容性。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（9）投标人应提供各系统气液管管径、保温材料及其厚度。</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（10）投标人应提供通讯网关，实现对本项目所有空调的室内机和室外机的数据进行采集，并开放接口协议，可实现在集中控制室对所有区域的室内机进行集中的监测和控制。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（11）中标后，投标品牌需提供制造商出具的正式产品样本及技术资料备查。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（12）直接膨胀式空调机组室内机要求：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  A、箱体框架采用铝合金材料，壁板厚度大于50mm，具有足够的强度，整体结构设计成便于拆装，采用满足密封要求的嵌入式连接方式，并进行防腐处理以满足使用年限要求。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B、 箱体面板美观大方，面板材料为彩钢板。箱体结构采用双层面板结构，中间夹保温层（50mm厚硬质聚氨酯发泡），保温层与面板结合牢固、平整、无间隙，并进行防腐处理;箱体有足够的强度，机组在最大静压下(即机组全压)，面板和框架能承受持久的扭曲但不能产生永久变型;底层面板有足够强度，满足检修安装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C、检修门的结构型式和材料与面板相匹配，门体为外开启，密封条与门的连接牢固，在运行中不能松脱，门安装后与面板保待平整且的锁紧措施。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D、基座：供方提供用于组合式空调器现场安装100m高的槽钢基座，基座设计使机组的运行重量沿长度方向均匀的支承在基础座上。槽钢基座进行镀锌处理防腐处理以满足运行15年的要求。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E、供货商提供的直膨段盘管按供方所在国有关标准设计制造，所采用的制造标准等同或高于中国有关设计制造标准，并提供所采用的制造标准。</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 F、风机段内装设双进风变频离心风机，风机进口空气动力性能设计保证组合式空调器的有关性能满足风机性能特性。</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G、风机采用高效率、高强度叶轮结构，其叶轮和轴需在制造厂内进行静平衡和动平衡试验，并提供试验报告。风机轴承采用免维护结构形式，便于调整、维护。</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H、电动机为全封闭鼠笼式耐湿热型的标准产品，绝缘等级为F级，电源电压为380V/50Hz，电机转速不超过1450rpm，电机便于安装、调整。电机能适变频运行。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I、电动机能满足在温度-20℃&lt;t&lt;45℃，相对湿度10%&lt;中&lt;95%的环境中存储和连续运行。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J、风机采用皮带传动方式，离心风机设有弹簧隔振装置。风机采用变频运行，变频器设置在变频柜内，变频柜能实现过热保护。</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K、风机段设一检修门，检修门设置与皮带为异侧，且大小考虑便于电机的拆除、运输及更换。段内考虑风机轴的拆卸及更换。风机全压效率不低于75%。</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L、通过送风口的风速控制在10m/s以下。</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M、检修门：直膨机室内机的混合段(初中效过滤段)、中间段和风机段配检修门，以方便机组运行维护保养。检修门的配置数量、位置保证检修人员能接触到机组内的各部件，包括过滤器、直膨盘管、风机等部件。检修门具备多点锁紧功能，并在机组外设把手。</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N、风机皮带防油、防热、防火焰，长度及极限偏差、同组长度允许偏差符合相关标准要求，匹配合理，磨损小，至少使用3个月不打滑。</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（13）其它要求：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fldChar w:fldCharType="begin"/>
      </w:r>
      <w:r>
        <w:rPr>
          <w:rFonts w:hint="eastAsia" w:asciiTheme="minorEastAsia" w:hAnsiTheme="minorEastAsia"/>
        </w:rPr>
        <w:instrText xml:space="preserve"> = 1 \* GB3 </w:instrText>
      </w:r>
      <w:r>
        <w:rPr>
          <w:rFonts w:hint="eastAsia" w:asciiTheme="minorEastAsia" w:hAnsiTheme="minorEastAsia"/>
        </w:rPr>
        <w:fldChar w:fldCharType="separate"/>
      </w:r>
      <w:r>
        <w:rPr>
          <w:rFonts w:hint="eastAsia" w:asciiTheme="minorEastAsia" w:hAnsiTheme="minorEastAsia"/>
        </w:rPr>
        <w:t>①</w:t>
      </w:r>
      <w:r>
        <w:rPr>
          <w:rFonts w:hint="eastAsia" w:asciiTheme="minorEastAsia" w:hAnsiTheme="minorEastAsia"/>
        </w:rPr>
        <w:fldChar w:fldCharType="end"/>
      </w:r>
      <w:r>
        <w:rPr>
          <w:rFonts w:hint="eastAsia" w:asciiTheme="minorEastAsia" w:hAnsiTheme="minorEastAsia"/>
        </w:rPr>
        <w:t xml:space="preserve"> 投标人需详细说明所选用的安装材料规格及其品牌。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fldChar w:fldCharType="begin"/>
      </w:r>
      <w:r>
        <w:rPr>
          <w:rFonts w:hint="eastAsia" w:asciiTheme="minorEastAsia" w:hAnsiTheme="minorEastAsia"/>
        </w:rPr>
        <w:instrText xml:space="preserve"> = 2 \* GB3 </w:instrText>
      </w:r>
      <w:r>
        <w:rPr>
          <w:rFonts w:hint="eastAsia" w:asciiTheme="minorEastAsia" w:hAnsiTheme="minorEastAsia"/>
        </w:rPr>
        <w:fldChar w:fldCharType="separate"/>
      </w:r>
      <w:r>
        <w:rPr>
          <w:rFonts w:hint="eastAsia" w:asciiTheme="minorEastAsia" w:hAnsiTheme="minorEastAsia"/>
        </w:rPr>
        <w:t>②</w:t>
      </w:r>
      <w:r>
        <w:rPr>
          <w:rFonts w:hint="eastAsia" w:asciiTheme="minorEastAsia" w:hAnsiTheme="minorEastAsia"/>
        </w:rPr>
        <w:fldChar w:fldCharType="end"/>
      </w:r>
      <w:r>
        <w:rPr>
          <w:rFonts w:hint="eastAsia" w:asciiTheme="minorEastAsia" w:hAnsiTheme="minorEastAsia"/>
        </w:rPr>
        <w:t xml:space="preserve"> 所投品牌需在本地设有厂家售后服务公司，须有维修备品备件仓库。 及时响应项目售后服务需求。须提供质保期至少为 2 年(同时须达到国家规定)；并负责对采购人的设备维修管理人员免费进行培训。</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w:t>
      </w:r>
      <w:r>
        <w:rPr>
          <w:rFonts w:hint="eastAsia" w:asciiTheme="minorEastAsia" w:hAnsiTheme="minorEastAsia"/>
          <w:lang w:val="en-US" w:eastAsia="zh-CN"/>
        </w:rPr>
        <w:t>2</w:t>
      </w:r>
      <w:r>
        <w:rPr>
          <w:rFonts w:hint="eastAsia" w:asciiTheme="minorEastAsia" w:hAnsiTheme="minorEastAsia"/>
        </w:rPr>
        <w:t>、分体空调供货及安装：</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（1）提供的分体式空调器，是满足基本技术要求的运行可靠、技术先进、空间节省、安装简单、维护方便、高效节能、控制灵活的成熟产品。</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（2）空调器室外机满足在环境温度-5〜43℃，相对湿度20-98%、日晒雨淋的条件下能连续正常运行。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（3）空调器符合《房间空气调节器》GB/T 7725-2004和《家用和类似用途电器的安全热泵、空调器和除湿机的特殊要求》GB 4706.32-2012的要求，并按规定程序批痊的图样和技术条件制造。</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（4）室内室外机间的冷媒接管的长度满足安装要求，所提供空调器的制冷量是能适应本项目室内室外机间冷媒的接管长度后的。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（5）按铭牌标示的气候类型进行制冷、制热性能试验。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（6）配液晶显示的无线遥控器，采用中文界面，操作使用简单。</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（4）投标单位应针对设计参数逐项说明所投产品的对应参数。</w:t>
      </w:r>
    </w:p>
    <w:p>
      <w:pPr>
        <w:tabs>
          <w:tab w:val="left" w:pos="142"/>
        </w:tabs>
        <w:snapToGrid w:val="0"/>
        <w:spacing w:line="360" w:lineRule="auto"/>
        <w:ind w:firstLine="420" w:firstLineChars="200"/>
        <w:rPr>
          <w:rFonts w:hint="eastAsia" w:asciiTheme="minorEastAsia" w:hAnsiTheme="minorEastAsia"/>
        </w:rPr>
      </w:pP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w:t>
      </w:r>
      <w:r>
        <w:rPr>
          <w:rFonts w:hint="eastAsia" w:asciiTheme="minorEastAsia" w:hAnsiTheme="minorEastAsia"/>
          <w:lang w:val="en-US" w:eastAsia="zh-CN"/>
        </w:rPr>
        <w:t>3</w:t>
      </w:r>
      <w:r>
        <w:rPr>
          <w:rFonts w:hint="eastAsia" w:asciiTheme="minorEastAsia" w:hAnsiTheme="minorEastAsia"/>
        </w:rPr>
        <w:t>、风口的技术要求：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设备本体（包括外购件）的设计、制造、检测和测试等，应符合但不限于下列有关部门标准和规范：所有投标方提供的风口均须满足≤通风与空调工程施工及质量验收标准规范≥（GB50243-2002）的相关要求。风口应按照要求进行喷塑，外表面平整光洁，无伤痕及裂纹，能保证长时间内不褪色。</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风口质量要求符合GB50243-2002、JB/T7228-94、JG/T14-1999、JB/T6416-92等现行国家相关规范。</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投标产品的质量标准、检验标准：JG/T 14-1999</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（2）风口使用寿命不低于20年。</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（3）生产制造商具有气流实验室，投标文件中应至少包括所投的每一个产品在本项目工况下的设计计算选型报告.报告中应对风口的压力损失、再生噪声、送风距离和对应的末端风速值作出具体说明。</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（4）生产制造商具有3年以上投标产品的使用业绩，并提供合同。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（5）打了﹡的投标前需提供样品，否则不具备投标资格。</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（6）供应商应具有ISO9000和ISO14000认证证书，生产许可证，企业质量管理状况良好.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（7）投标方在投标文件中应附有经第三方(必须是国内知名院所)所做的投标类产品性能试验报告，并同时需提供产品的温控检测报告。</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（8）设备的铭牌、使用指示、警告指示应以中文简明易懂的通用符合来表示，并准确地表示设备的型号、规格制造商。</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（9）投标人提供的设备应根据国家标准和规范进行设计和制造，必须是在其过去承接的类似工程中使用过的技术成熟的可靠性高，能耗低，噪声低，不污染环境，操用维护保养简便。</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10）投标人应对投标内容所涉及的技术专利承担责任，并负责保护业主的利益不受任何损害。一切由于文字、商标和技术专利侵权引起的法律裁决，诉讼和有关费用均与招标人无关。对于有自己专利的产品应提供产品的外观或专利新型专利。</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（11）温控风口</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A、具有远距离送风的功能。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B、能和装饰设计紧密配合，可以制作成送风口和装饰风口连成一体的特点，从而达到外形美观流畅的特点，也可以根据要求配置静压箱.</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C、具有根据夏季工况和冬季工况的送风温度的不同，实现自动调节和改变气流送风方向的功能。并且在调节过程中不会发出人耳能听得到的异样声响。调节动作平稳协调。</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D、温度球形送风口应具有根据安装高度的不同在夏季和冬季提供不同的送风转角，以顺利实现送风气流方向的调节，并能根据在给定风量的条件下，保证有足够的送风距离和合适的末端风速，确保冬季工况送风时，人员活动区的平均风速在0.25m/s到0.5m/s范围内。</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E、温度球形送风口主体和外框结构应采用优质ABS材质，以保证产品气流的力学模型，满足使用场所的要求，且在其工作过程中具有可靠的自锁定位功能，并且应该具有较小的压力损伤和较低的再生噪声.</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F、可以根据项目的安装要求配置附件，比如静压箱或者风量调节装置等</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G、制造商需提供产品在本项目工况下的设计计算选型报告，报告中应对风口的压力损失、再生噪声、送风距离和对应的末端风速值作出具体说明。</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H、制造商需有经第三方(必须是国内知名院所)所做的产品性能试验报告。</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2、招标技术附件：本项目暖通设计图纸。</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四、投标报价要求：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1、各投标商根据前述技术要求、招标范围及暖通设计图纸，选择符合要求的品牌进行设备选型和配置，按照投标文件格式要求的投标报价表格要求进行投标报价，并详细说明相对应的付款方式、质保期等。</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2、投标人必须根据招标图纸充分考虑所有管路材料的损耗后进行报价，中标以后不得调整（设计变更及工程内容增减的除外）。</w:t>
      </w:r>
    </w:p>
    <w:p>
      <w:pPr>
        <w:pStyle w:val="2"/>
        <w:ind w:left="0" w:leftChars="0" w:firstLine="0" w:firstLineChars="0"/>
        <w:rPr>
          <w:rFonts w:hint="eastAsia" w:eastAsia="宋体" w:cs="Times New Roman" w:asciiTheme="minorEastAsia" w:hAnsiTheme="minorEastAsia"/>
          <w:b/>
          <w:kern w:val="2"/>
          <w:sz w:val="21"/>
          <w:szCs w:val="22"/>
          <w:lang w:val="en-US" w:eastAsia="zh-CN" w:bidi="ar-SA"/>
        </w:rPr>
      </w:pPr>
      <w:r>
        <w:rPr>
          <w:rFonts w:hint="eastAsia" w:eastAsia="宋体" w:cs="Times New Roman" w:asciiTheme="minorEastAsia" w:hAnsiTheme="minorEastAsia"/>
          <w:b/>
          <w:kern w:val="2"/>
          <w:sz w:val="21"/>
          <w:szCs w:val="22"/>
          <w:lang w:val="en-US" w:eastAsia="zh-CN" w:bidi="ar-SA"/>
        </w:rPr>
        <w:t>五、参数要求</w:t>
      </w:r>
      <w:r>
        <w:rPr>
          <w:rFonts w:hint="eastAsia" w:cs="Times New Roman" w:asciiTheme="minorEastAsia" w:hAnsiTheme="minorEastAsia"/>
          <w:b/>
          <w:kern w:val="2"/>
          <w:sz w:val="21"/>
          <w:szCs w:val="22"/>
          <w:lang w:val="en-US" w:eastAsia="zh-CN" w:bidi="ar-SA"/>
        </w:rPr>
        <w:t>（详见</w:t>
      </w:r>
      <w:r>
        <w:rPr>
          <w:rFonts w:hint="eastAsia" w:eastAsia="宋体" w:cs="Times New Roman" w:asciiTheme="minorEastAsia" w:hAnsiTheme="minorEastAsia"/>
          <w:b/>
          <w:kern w:val="2"/>
          <w:sz w:val="21"/>
          <w:szCs w:val="22"/>
          <w:lang w:val="en-US" w:eastAsia="zh-CN" w:bidi="ar-SA"/>
        </w:rPr>
        <w:t>0510-21#博物馆暖通图纸</w:t>
      </w:r>
      <w:r>
        <w:rPr>
          <w:rFonts w:hint="eastAsia" w:cs="Times New Roman" w:asciiTheme="minorEastAsia" w:hAnsiTheme="minorEastAsia"/>
          <w:b/>
          <w:kern w:val="2"/>
          <w:sz w:val="21"/>
          <w:szCs w:val="22"/>
          <w:lang w:val="en-US" w:eastAsia="zh-CN" w:bidi="ar-SA"/>
        </w:rPr>
        <w:t>）</w:t>
      </w:r>
      <w:r>
        <w:rPr>
          <w:rFonts w:hint="eastAsia" w:eastAsia="宋体" w:cs="Times New Roman" w:asciiTheme="minorEastAsia" w:hAnsiTheme="minorEastAsia"/>
          <w:b/>
          <w:kern w:val="2"/>
          <w:sz w:val="21"/>
          <w:szCs w:val="22"/>
          <w:lang w:val="en-US" w:eastAsia="zh-CN" w:bidi="ar-SA"/>
        </w:rPr>
        <w:t>：</w:t>
      </w:r>
    </w:p>
    <w:p>
      <w:pPr>
        <w:pStyle w:val="2"/>
        <w:ind w:left="0" w:leftChars="0" w:firstLine="0" w:firstLineChars="0"/>
        <w:rPr>
          <w:rFonts w:hint="default" w:eastAsia="宋体" w:cs="Times New Roman" w:asciiTheme="minorEastAsia" w:hAnsiTheme="minorEastAsia"/>
          <w:b/>
          <w:kern w:val="2"/>
          <w:sz w:val="21"/>
          <w:szCs w:val="22"/>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kNzlkZmI0ZjhkYzQzMWQwNmU5MDIyZTUwMjBlZTUifQ=="/>
  </w:docVars>
  <w:rsids>
    <w:rsidRoot w:val="00BB7A2D"/>
    <w:rsid w:val="00015523"/>
    <w:rsid w:val="00042CC5"/>
    <w:rsid w:val="00053D15"/>
    <w:rsid w:val="000B0273"/>
    <w:rsid w:val="000E1207"/>
    <w:rsid w:val="00103C39"/>
    <w:rsid w:val="001160EE"/>
    <w:rsid w:val="00126868"/>
    <w:rsid w:val="001269D4"/>
    <w:rsid w:val="001539D7"/>
    <w:rsid w:val="001710BA"/>
    <w:rsid w:val="001B4B46"/>
    <w:rsid w:val="001B7081"/>
    <w:rsid w:val="00202C7A"/>
    <w:rsid w:val="002210DF"/>
    <w:rsid w:val="00221BDC"/>
    <w:rsid w:val="002569E8"/>
    <w:rsid w:val="002F0DC0"/>
    <w:rsid w:val="003031F3"/>
    <w:rsid w:val="003050F9"/>
    <w:rsid w:val="00312F4C"/>
    <w:rsid w:val="0032395F"/>
    <w:rsid w:val="00393344"/>
    <w:rsid w:val="00394AFB"/>
    <w:rsid w:val="003A6DC6"/>
    <w:rsid w:val="003C16DF"/>
    <w:rsid w:val="003C5CC7"/>
    <w:rsid w:val="003F77D7"/>
    <w:rsid w:val="00402702"/>
    <w:rsid w:val="00417F69"/>
    <w:rsid w:val="00461A59"/>
    <w:rsid w:val="004A0A42"/>
    <w:rsid w:val="004F19CF"/>
    <w:rsid w:val="004F24E8"/>
    <w:rsid w:val="004F7E61"/>
    <w:rsid w:val="00555FDB"/>
    <w:rsid w:val="005601C2"/>
    <w:rsid w:val="00580451"/>
    <w:rsid w:val="00593A7A"/>
    <w:rsid w:val="00594113"/>
    <w:rsid w:val="005B3183"/>
    <w:rsid w:val="005C4430"/>
    <w:rsid w:val="005E4E9E"/>
    <w:rsid w:val="00632423"/>
    <w:rsid w:val="00670B58"/>
    <w:rsid w:val="006904FC"/>
    <w:rsid w:val="00713742"/>
    <w:rsid w:val="007515CE"/>
    <w:rsid w:val="0076212B"/>
    <w:rsid w:val="007B2A23"/>
    <w:rsid w:val="007D31C9"/>
    <w:rsid w:val="007E0F03"/>
    <w:rsid w:val="008349E6"/>
    <w:rsid w:val="008557A1"/>
    <w:rsid w:val="008566CE"/>
    <w:rsid w:val="00864367"/>
    <w:rsid w:val="00880019"/>
    <w:rsid w:val="00887092"/>
    <w:rsid w:val="00894B4B"/>
    <w:rsid w:val="008E7EF6"/>
    <w:rsid w:val="008F0003"/>
    <w:rsid w:val="008F01CB"/>
    <w:rsid w:val="00907D4F"/>
    <w:rsid w:val="00913F21"/>
    <w:rsid w:val="009644F0"/>
    <w:rsid w:val="00964A00"/>
    <w:rsid w:val="009B43F3"/>
    <w:rsid w:val="00A10879"/>
    <w:rsid w:val="00A12817"/>
    <w:rsid w:val="00A2398C"/>
    <w:rsid w:val="00A247B7"/>
    <w:rsid w:val="00A3733D"/>
    <w:rsid w:val="00A6357D"/>
    <w:rsid w:val="00A645EC"/>
    <w:rsid w:val="00A96914"/>
    <w:rsid w:val="00AC4441"/>
    <w:rsid w:val="00B03FAA"/>
    <w:rsid w:val="00B15C9F"/>
    <w:rsid w:val="00B35A0D"/>
    <w:rsid w:val="00B36D37"/>
    <w:rsid w:val="00B86F9F"/>
    <w:rsid w:val="00B92118"/>
    <w:rsid w:val="00BB7A2D"/>
    <w:rsid w:val="00C05B8C"/>
    <w:rsid w:val="00C46151"/>
    <w:rsid w:val="00C81EB2"/>
    <w:rsid w:val="00C94968"/>
    <w:rsid w:val="00CE05E2"/>
    <w:rsid w:val="00D17743"/>
    <w:rsid w:val="00D430F3"/>
    <w:rsid w:val="00D442EB"/>
    <w:rsid w:val="00D66715"/>
    <w:rsid w:val="00DA1911"/>
    <w:rsid w:val="00DB1FDC"/>
    <w:rsid w:val="00DB2C54"/>
    <w:rsid w:val="00DB5B5A"/>
    <w:rsid w:val="00DC1EAB"/>
    <w:rsid w:val="00DC2CC3"/>
    <w:rsid w:val="00E062ED"/>
    <w:rsid w:val="00EE7B95"/>
    <w:rsid w:val="00F10A42"/>
    <w:rsid w:val="00F1250E"/>
    <w:rsid w:val="00F26E74"/>
    <w:rsid w:val="00F646EB"/>
    <w:rsid w:val="00F80994"/>
    <w:rsid w:val="00F910D3"/>
    <w:rsid w:val="00F91506"/>
    <w:rsid w:val="00FD3C93"/>
    <w:rsid w:val="00FF3DC3"/>
    <w:rsid w:val="172F6997"/>
    <w:rsid w:val="3FBF2CA0"/>
    <w:rsid w:val="476530C8"/>
    <w:rsid w:val="6C575BF2"/>
    <w:rsid w:val="7C0F7CD4"/>
    <w:rsid w:val="7D362427"/>
    <w:rsid w:val="CF7FD9CA"/>
    <w:rsid w:val="DD7DD69C"/>
    <w:rsid w:val="FFDF78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9"/>
    <w:semiHidden/>
    <w:unhideWhenUsed/>
    <w:qFormat/>
    <w:uiPriority w:val="99"/>
    <w:pPr>
      <w:ind w:firstLine="420" w:firstLineChars="100"/>
    </w:pPr>
    <w:rPr>
      <w:rFonts w:ascii="Calibri" w:hAnsi="Calibri"/>
      <w:szCs w:val="22"/>
    </w:rPr>
  </w:style>
  <w:style w:type="paragraph" w:styleId="3">
    <w:name w:val="Body Text"/>
    <w:basedOn w:val="1"/>
    <w:link w:val="8"/>
    <w:qFormat/>
    <w:uiPriority w:val="0"/>
    <w:pPr>
      <w:spacing w:after="120"/>
    </w:pPr>
    <w:rPr>
      <w:rFonts w:ascii="宋体" w:hAnsi="宋体"/>
      <w:szCs w:val="24"/>
    </w:rPr>
  </w:style>
  <w:style w:type="paragraph" w:styleId="4">
    <w:name w:val="Subtitle"/>
    <w:basedOn w:val="1"/>
    <w:next w:val="1"/>
    <w:link w:val="12"/>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5">
    <w:name w:val="Title"/>
    <w:basedOn w:val="1"/>
    <w:next w:val="1"/>
    <w:link w:val="11"/>
    <w:qFormat/>
    <w:uiPriority w:val="10"/>
    <w:pPr>
      <w:spacing w:before="240" w:after="60"/>
      <w:jc w:val="center"/>
      <w:outlineLvl w:val="0"/>
    </w:pPr>
    <w:rPr>
      <w:rFonts w:asciiTheme="majorHAnsi" w:hAnsiTheme="majorHAnsi" w:cstheme="majorBidi"/>
      <w:b/>
      <w:bCs/>
      <w:sz w:val="32"/>
      <w:szCs w:val="32"/>
    </w:rPr>
  </w:style>
  <w:style w:type="character" w:customStyle="1" w:styleId="8">
    <w:name w:val="正文文本 Char"/>
    <w:basedOn w:val="7"/>
    <w:link w:val="3"/>
    <w:qFormat/>
    <w:uiPriority w:val="0"/>
    <w:rPr>
      <w:rFonts w:ascii="宋体" w:hAnsi="宋体" w:eastAsia="宋体" w:cs="Times New Roman"/>
      <w:szCs w:val="24"/>
    </w:rPr>
  </w:style>
  <w:style w:type="character" w:customStyle="1" w:styleId="9">
    <w:name w:val="正文首行缩进 Char"/>
    <w:basedOn w:val="8"/>
    <w:link w:val="2"/>
    <w:semiHidden/>
    <w:qFormat/>
    <w:uiPriority w:val="99"/>
    <w:rPr>
      <w:rFonts w:ascii="宋体" w:hAnsi="宋体" w:eastAsia="宋体" w:cs="Times New Roman"/>
      <w:szCs w:val="24"/>
    </w:rPr>
  </w:style>
  <w:style w:type="paragraph" w:customStyle="1" w:styleId="10">
    <w:name w:val="Table Paragraph"/>
    <w:basedOn w:val="1"/>
    <w:qFormat/>
    <w:uiPriority w:val="1"/>
    <w:pPr>
      <w:autoSpaceDE w:val="0"/>
      <w:autoSpaceDN w:val="0"/>
      <w:jc w:val="left"/>
    </w:pPr>
    <w:rPr>
      <w:rFonts w:ascii="宋体" w:hAnsi="宋体" w:cs="宋体"/>
      <w:kern w:val="0"/>
      <w:sz w:val="22"/>
      <w:lang w:val="zh-CN" w:bidi="zh-CN"/>
    </w:rPr>
  </w:style>
  <w:style w:type="character" w:customStyle="1" w:styleId="11">
    <w:name w:val="标题 Char"/>
    <w:basedOn w:val="7"/>
    <w:link w:val="5"/>
    <w:qFormat/>
    <w:uiPriority w:val="10"/>
    <w:rPr>
      <w:rFonts w:eastAsia="宋体" w:asciiTheme="majorHAnsi" w:hAnsiTheme="majorHAnsi" w:cstheme="majorBidi"/>
      <w:b/>
      <w:bCs/>
      <w:sz w:val="32"/>
      <w:szCs w:val="32"/>
    </w:rPr>
  </w:style>
  <w:style w:type="character" w:customStyle="1" w:styleId="12">
    <w:name w:val="副标题 Char"/>
    <w:basedOn w:val="7"/>
    <w:link w:val="4"/>
    <w:qFormat/>
    <w:uiPriority w:val="11"/>
    <w:rPr>
      <w:rFonts w:eastAsia="宋体" w:asciiTheme="majorHAnsi" w:hAnsiTheme="majorHAnsi" w:cstheme="majorBidi"/>
      <w:b/>
      <w:bCs/>
      <w:kern w:val="28"/>
      <w:sz w:val="32"/>
      <w:szCs w:val="32"/>
    </w:rPr>
  </w:style>
  <w:style w:type="character" w:customStyle="1" w:styleId="13">
    <w:name w:val="不明显强调1"/>
    <w:basedOn w:val="7"/>
    <w:qFormat/>
    <w:uiPriority w:val="19"/>
    <w:rPr>
      <w:i/>
      <w:iCs/>
      <w:color w:val="404040" w:themeColor="text1" w:themeTint="BF"/>
      <w14:textFill>
        <w14:solidFill>
          <w14:schemeClr w14:val="tx1">
            <w14:lumMod w14:val="75000"/>
            <w14:lumOff w14:val="25000"/>
          </w14:schemeClr>
        </w14:solidFill>
      </w14:textFill>
    </w:rPr>
  </w:style>
  <w:style w:type="paragraph" w:styleId="14">
    <w:name w:val="List Paragraph"/>
    <w:basedOn w:val="1"/>
    <w:qFormat/>
    <w:uiPriority w:val="34"/>
    <w:pPr>
      <w:ind w:firstLine="420" w:firstLineChars="200"/>
    </w:pPr>
    <w:rPr>
      <w:rFonts w:asciiTheme="minorHAnsi" w:hAnsiTheme="minorHAnsi" w:eastAsiaTheme="minorEastAsia" w:cstheme="minorBid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3989</Words>
  <Characters>4188</Characters>
  <Lines>33</Lines>
  <Paragraphs>9</Paragraphs>
  <TotalTime>9</TotalTime>
  <ScaleCrop>false</ScaleCrop>
  <LinksUpToDate>false</LinksUpToDate>
  <CharactersWithSpaces>4213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2024-05-10T11:43:00Z</dcterms:created>
  <dc:creator>Administrator</dc:creator>
  <cp:lastModifiedBy>大晨</cp:lastModifiedBy>
  <dcterms:modified xsi:type="dcterms:W3CDTF">2024-05-14T09:31:51Z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1A7F84A50C7440729B21269282DC4C1F_12</vt:lpwstr>
  </property>
</Properties>
</file>